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315C9" w14:textId="5EAFD736" w:rsidR="00AF6C81" w:rsidRDefault="00AF6C81" w:rsidP="00AF6C81">
      <w:pPr>
        <w:shd w:val="clear" w:color="auto" w:fill="FFFFFF"/>
        <w:spacing w:after="0" w:line="240" w:lineRule="auto"/>
        <w:textAlignment w:val="baseline"/>
        <w:rPr>
          <w:rFonts w:ascii="inherit" w:eastAsia="Times New Roman" w:hAnsi="inherit" w:cs="Arial"/>
          <w:b/>
          <w:bCs/>
          <w:color w:val="000000"/>
          <w:sz w:val="20"/>
          <w:szCs w:val="20"/>
          <w:bdr w:val="none" w:sz="0" w:space="0" w:color="auto" w:frame="1"/>
          <w:lang w:eastAsia="da-DK"/>
        </w:rPr>
      </w:pPr>
      <w:r>
        <w:rPr>
          <w:rFonts w:ascii="Open Sans" w:hAnsi="Open Sans" w:cs="Open Sans"/>
          <w:color w:val="333333"/>
          <w:sz w:val="27"/>
          <w:szCs w:val="27"/>
          <w:shd w:val="clear" w:color="auto" w:fill="FFFFFF"/>
        </w:rPr>
        <w:t>VEJLEDNING VEDR. INDDRIVELSE AF FORDRINGER</w:t>
      </w:r>
    </w:p>
    <w:p w14:paraId="4358AD48" w14:textId="77777777" w:rsidR="00AF6C81" w:rsidRDefault="00AF6C81" w:rsidP="00AF6C81">
      <w:pPr>
        <w:shd w:val="clear" w:color="auto" w:fill="FFFFFF"/>
        <w:spacing w:after="0" w:line="240" w:lineRule="auto"/>
        <w:textAlignment w:val="baseline"/>
        <w:rPr>
          <w:rFonts w:ascii="inherit" w:eastAsia="Times New Roman" w:hAnsi="inherit" w:cs="Arial"/>
          <w:b/>
          <w:bCs/>
          <w:color w:val="000000"/>
          <w:sz w:val="20"/>
          <w:szCs w:val="20"/>
          <w:bdr w:val="none" w:sz="0" w:space="0" w:color="auto" w:frame="1"/>
          <w:lang w:eastAsia="da-DK"/>
        </w:rPr>
      </w:pPr>
    </w:p>
    <w:p w14:paraId="6EDE51A9" w14:textId="05301D5C"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inherit" w:eastAsia="Times New Roman" w:hAnsi="inherit" w:cs="Arial"/>
          <w:b/>
          <w:bCs/>
          <w:color w:val="000000"/>
          <w:sz w:val="20"/>
          <w:szCs w:val="20"/>
          <w:bdr w:val="none" w:sz="0" w:space="0" w:color="auto" w:frame="1"/>
          <w:lang w:eastAsia="da-DK"/>
        </w:rPr>
        <w:t xml:space="preserve">Den 1. januar 2010 trådte en ny grønlandsk retsplejelov i kraft. Den nye retsplejelov indeholder bl.a. en </w:t>
      </w:r>
      <w:proofErr w:type="gramStart"/>
      <w:r w:rsidRPr="00AF6C81">
        <w:rPr>
          <w:rFonts w:ascii="inherit" w:eastAsia="Times New Roman" w:hAnsi="inherit" w:cs="Arial"/>
          <w:b/>
          <w:bCs/>
          <w:color w:val="000000"/>
          <w:sz w:val="20"/>
          <w:szCs w:val="20"/>
          <w:bdr w:val="none" w:sz="0" w:space="0" w:color="auto" w:frame="1"/>
          <w:lang w:eastAsia="da-DK"/>
        </w:rPr>
        <w:t>ændringer</w:t>
      </w:r>
      <w:proofErr w:type="gramEnd"/>
      <w:r w:rsidRPr="00AF6C81">
        <w:rPr>
          <w:rFonts w:ascii="inherit" w:eastAsia="Times New Roman" w:hAnsi="inherit" w:cs="Arial"/>
          <w:b/>
          <w:bCs/>
          <w:color w:val="000000"/>
          <w:sz w:val="20"/>
          <w:szCs w:val="20"/>
          <w:bdr w:val="none" w:sz="0" w:space="0" w:color="auto" w:frame="1"/>
          <w:lang w:eastAsia="da-DK"/>
        </w:rPr>
        <w:t xml:space="preserve"> af inkassoprocessen, indførelse af retsafgifter og oprettelse af en ny instans – Retten i Grønland.  </w:t>
      </w:r>
    </w:p>
    <w:p w14:paraId="61EFC577"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467756D9"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Ifølge den grønlandske retsplejelov kan en civil tvist blive behandlet på én af to følgende måder:</w:t>
      </w:r>
    </w:p>
    <w:p w14:paraId="6B4B9CE5"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1)      Civilt søgsmål.  </w:t>
      </w:r>
    </w:p>
    <w:p w14:paraId="4ECEE3C5"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2)      Anlæggelse af et inkassosøgsmål. Denne måde bør dog kun anvendes, hvis det forventes, at sagsøgte ikke bestrider sagsøgers påstand.</w:t>
      </w:r>
    </w:p>
    <w:p w14:paraId="7204C9AA"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3CB97B70"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Fogedforretning gennemføres på følgende grundlag:</w:t>
      </w:r>
    </w:p>
    <w:p w14:paraId="32C15B1E"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1)      Dokument, hvor det udtrykkeligt fremgår, at det kan benyttes som grundlag for tvangsfuldbyrdelse, dvs. uden videre danne grundlag for fogedforretning. Fx gældsbrev eller frivilligt forlig.</w:t>
      </w:r>
    </w:p>
    <w:p w14:paraId="3ED16929"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2)      Dom fra inkassosagsbehandling, hvor fogeden straks efter domsafsigelse kan fuldbyrde dommen.</w:t>
      </w:r>
    </w:p>
    <w:p w14:paraId="02BC2CE1"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3)      Dom fra civilt søgsmål efter udløb af den 4 ugers ankefrist.</w:t>
      </w:r>
    </w:p>
    <w:p w14:paraId="08126532"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44C0DE25"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u w:val="single"/>
          <w:bdr w:val="none" w:sz="0" w:space="0" w:color="auto" w:frame="1"/>
          <w:lang w:eastAsia="da-DK"/>
        </w:rPr>
        <w:t>Anlæggelse af civilt søgsmål</w:t>
      </w:r>
    </w:p>
    <w:p w14:paraId="36171E01"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I en civil sag, hvor en person eller virksomhed har et krav mod en anden part, skal sagen som udgangspunkt behandles af kredsretterne som 1. instans med en kredsdommer som retsformand. Der er ikke længere nogen bestemmelse om, at kredsretten ikke har kompetence til at behandle sager vedr. selskaber. Sagen indledes således med en stævning indsendt til den kredsret, hvor sagen skal behandles. Se skabelon til </w:t>
      </w:r>
      <w:hyperlink r:id="rId5" w:tgtFrame="_blank" w:history="1">
        <w:r w:rsidRPr="00AF6C81">
          <w:rPr>
            <w:rFonts w:ascii="Arial" w:eastAsia="Times New Roman" w:hAnsi="Arial" w:cs="Arial"/>
            <w:color w:val="000000"/>
            <w:sz w:val="20"/>
            <w:szCs w:val="20"/>
            <w:u w:val="single"/>
            <w:bdr w:val="none" w:sz="0" w:space="0" w:color="auto" w:frame="1"/>
            <w:lang w:eastAsia="da-DK"/>
          </w:rPr>
          <w:t>stævning her</w:t>
        </w:r>
      </w:hyperlink>
      <w:r w:rsidRPr="00AF6C81">
        <w:rPr>
          <w:rFonts w:ascii="Arial" w:eastAsia="Times New Roman" w:hAnsi="Arial" w:cs="Arial"/>
          <w:color w:val="000000"/>
          <w:sz w:val="20"/>
          <w:szCs w:val="20"/>
          <w:bdr w:val="none" w:sz="0" w:space="0" w:color="auto" w:frame="1"/>
          <w:lang w:eastAsia="da-DK"/>
        </w:rPr>
        <w:t>.</w:t>
      </w:r>
    </w:p>
    <w:p w14:paraId="2FE6DE7C"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46F217E2"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Efter en konkret vurdering kan sager som hører under kredsretterne blive henvist til Retten i Grønland, som er en juridisk domstol i 1. instans. Det vil være sager som angår særlige vanskelige faktiske eller retlige spørgsmål, sager af principiel karakter eller sager som har særlig indgribende betydning for en part.</w:t>
      </w:r>
    </w:p>
    <w:p w14:paraId="508B14F7"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02B015BC"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u w:val="single"/>
          <w:bdr w:val="none" w:sz="0" w:space="0" w:color="auto" w:frame="1"/>
          <w:lang w:eastAsia="da-DK"/>
        </w:rPr>
        <w:t>Inkassosag</w:t>
      </w:r>
    </w:p>
    <w:p w14:paraId="383E8425"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Hvis der er tale om en inkassosag – altså en sag, hvor sagsøgte forventes ikke at bestride sagsøgers påstand, skal stævningen indledes med, at sagen ønskes behandlet efter reglerne om inkassosager.</w:t>
      </w:r>
    </w:p>
    <w:p w14:paraId="516057C9"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78148A6A"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Som dokumentation for kravet vedlægges f.eks.</w:t>
      </w:r>
    </w:p>
    <w:p w14:paraId="470F00E3" w14:textId="77777777" w:rsidR="00AF6C81" w:rsidRPr="00AF6C81" w:rsidRDefault="00AF6C81" w:rsidP="00AF6C81">
      <w:pPr>
        <w:numPr>
          <w:ilvl w:val="0"/>
          <w:numId w:val="1"/>
        </w:numPr>
        <w:shd w:val="clear" w:color="auto" w:fill="FFFFFF"/>
        <w:spacing w:after="0" w:line="240" w:lineRule="auto"/>
        <w:ind w:left="990"/>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Faktura og rykkerskrivelser</w:t>
      </w:r>
    </w:p>
    <w:p w14:paraId="25A1F263" w14:textId="77777777" w:rsidR="00AF6C81" w:rsidRPr="00AF6C81" w:rsidRDefault="00AF6C81" w:rsidP="00AF6C81">
      <w:pPr>
        <w:numPr>
          <w:ilvl w:val="0"/>
          <w:numId w:val="1"/>
        </w:numPr>
        <w:shd w:val="clear" w:color="auto" w:fill="FFFFFF"/>
        <w:spacing w:after="0" w:line="240" w:lineRule="auto"/>
        <w:ind w:left="990"/>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Kontoudtog og rentenota</w:t>
      </w:r>
    </w:p>
    <w:p w14:paraId="50DC8559"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36F488D1"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Såfremt sagsøgte/skyldneren fremkommer med indsigelser mod sagsøgerens/kreditors krav, vil behandlingen af sagen efter inkassoprocessen blive standset og vil fortsætte som en almindelig civil retssag.</w:t>
      </w:r>
    </w:p>
    <w:p w14:paraId="5E317977"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2B0DA545"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Bliver der ikke fremsendt rettidig indsigelse afsiges der udeblivelsesdom og fogeden kan straks efter domsafsigelse fuldbyrde dommen.</w:t>
      </w:r>
    </w:p>
    <w:p w14:paraId="458A1624"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5D804741"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u w:val="single"/>
          <w:bdr w:val="none" w:sz="0" w:space="0" w:color="auto" w:frame="1"/>
          <w:lang w:eastAsia="da-DK"/>
        </w:rPr>
        <w:t>Fogedforretning</w:t>
      </w:r>
    </w:p>
    <w:p w14:paraId="1D3A8333"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Såfremt sagsøger har et dokument, hvoraf det udtrykkelig fremgår, at det kan benyttes som grundlag for tvangsfuldbyrdelse – altså uden videre danne grundlag for fogedforretning, kan fogedbehandlingen foretages umiddelbart.</w:t>
      </w:r>
    </w:p>
    <w:p w14:paraId="68C7F54B"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5A1A402C"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Der er tale om de dokumenter, der fremgår af Retsplejeloven § 598, som f.eks.:</w:t>
      </w:r>
    </w:p>
    <w:p w14:paraId="3C1CB07A" w14:textId="77777777" w:rsidR="00AF6C81" w:rsidRPr="00AF6C81" w:rsidRDefault="00AF6C81" w:rsidP="00AF6C81">
      <w:pPr>
        <w:numPr>
          <w:ilvl w:val="0"/>
          <w:numId w:val="2"/>
        </w:numPr>
        <w:shd w:val="clear" w:color="auto" w:fill="FFFFFF"/>
        <w:spacing w:after="0" w:line="240" w:lineRule="auto"/>
        <w:ind w:left="990"/>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Gældsbrev/pantebreve</w:t>
      </w:r>
    </w:p>
    <w:p w14:paraId="33AAFFA7" w14:textId="77777777" w:rsidR="00AF6C81" w:rsidRPr="00AF6C81" w:rsidRDefault="00AF6C81" w:rsidP="00AF6C81">
      <w:pPr>
        <w:numPr>
          <w:ilvl w:val="0"/>
          <w:numId w:val="2"/>
        </w:numPr>
        <w:shd w:val="clear" w:color="auto" w:fill="FFFFFF"/>
        <w:spacing w:after="0" w:line="240" w:lineRule="auto"/>
        <w:ind w:left="990"/>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Domme, retsforlig</w:t>
      </w:r>
    </w:p>
    <w:p w14:paraId="421E8083" w14:textId="77777777" w:rsidR="00AF6C81" w:rsidRPr="00AF6C81" w:rsidRDefault="00AF6C81" w:rsidP="00AF6C81">
      <w:pPr>
        <w:numPr>
          <w:ilvl w:val="0"/>
          <w:numId w:val="2"/>
        </w:numPr>
        <w:shd w:val="clear" w:color="auto" w:fill="FFFFFF"/>
        <w:spacing w:after="0" w:line="240" w:lineRule="auto"/>
        <w:ind w:left="990"/>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lastRenderedPageBreak/>
        <w:t>Veksler</w:t>
      </w:r>
    </w:p>
    <w:p w14:paraId="2734E913" w14:textId="77777777" w:rsidR="00AF6C81" w:rsidRPr="00AF6C81" w:rsidRDefault="00AF6C81" w:rsidP="00AF6C81">
      <w:pPr>
        <w:numPr>
          <w:ilvl w:val="0"/>
          <w:numId w:val="2"/>
        </w:numPr>
        <w:shd w:val="clear" w:color="auto" w:fill="FFFFFF"/>
        <w:spacing w:after="0" w:line="240" w:lineRule="auto"/>
        <w:ind w:left="990"/>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Frivilligt forlig</w:t>
      </w:r>
    </w:p>
    <w:p w14:paraId="33DE3C52"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6FBCD507"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Tidligere skulle dokumenter som skulle danne grundlag for tvangsfuldbyrdelse godkendes af Landsdommeren i Grønland. Dette er ændret, såfremt det udtrykkeligt er bestemt i dokumentet, at det kan benyttes som grundlag for tvangsfuldbyrdelse.</w:t>
      </w:r>
    </w:p>
    <w:p w14:paraId="3A455312"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1090B82D"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u w:val="single"/>
          <w:bdr w:val="none" w:sz="0" w:space="0" w:color="auto" w:frame="1"/>
          <w:lang w:eastAsia="da-DK"/>
        </w:rPr>
        <w:t>Fogeden</w:t>
      </w:r>
    </w:p>
    <w:p w14:paraId="1AF659A3"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Ifølge Retsplejeloven skal fogedmyndigheden ikke længere varetages af politiet men i stedet af kredsretterne.</w:t>
      </w:r>
    </w:p>
    <w:p w14:paraId="77D97A09"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Der er endvidere givet mulighed for, at fogedforretning kan foretages, uanset om skyldner er mødt til fogedretsmødet. Skyldneren kan således ikke forhindre udlæg i en genstand ved ikke at møde til indkaldt fogedretsmøde.</w:t>
      </w:r>
    </w:p>
    <w:p w14:paraId="6D2B9178"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3B789F81"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u w:val="single"/>
          <w:bdr w:val="none" w:sz="0" w:space="0" w:color="auto" w:frame="1"/>
          <w:lang w:eastAsia="da-DK"/>
        </w:rPr>
        <w:t>Retsafgift</w:t>
      </w:r>
    </w:p>
    <w:p w14:paraId="1D8BFBE5"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Der blev med Retsplejeloven indført retsafgifter i Grønland. Dvs. at man som udgangspunkt skal indbetale et beløb i afgift til retten, når man ønsker, at retten skal behandle ens civile sager, inkassosager eller fogedsager.</w:t>
      </w:r>
    </w:p>
    <w:p w14:paraId="1E4B467A"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48DB7855"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Retsafgiften i sager, der behandles af en kredsret eller af Retten i Grønland er 500 kr. for en stævning i en civil sag. Hvis man anker en sag, hvori man ikke er tilfreds med afgørelsen, er retsafgiften for en dom, anket til Grønlands Landsret, 750 kr. For en beslutning, man kærer til Grønlands Landsret, er 400 kr. For at anke en dom til Højesteret, skal der betales 1.500 kr. i retsafgift og for en beslutning, kæret til Højesteret 750 kr.</w:t>
      </w:r>
    </w:p>
    <w:p w14:paraId="26A42FB2"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03C678D7"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 Afgiften for at indgive en anmodning til fogedretten er 300 kr. uanset om anmodningen vedrører flere krav mod samme skyldner. Er der flere skyldnere, skal der betales 300 kr. i afgift for hver skyldner.</w:t>
      </w:r>
    </w:p>
    <w:p w14:paraId="701673EB"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2869F7D5"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Anmodes der om tvangssalg af bil, båd eller fast ejendom skal der betales 500 kr. i retsafgift. Ved tvangssalg af aktier, gældsbreve og andre fordringer er retsafgiften 300 kr.</w:t>
      </w:r>
    </w:p>
    <w:p w14:paraId="04556ACB" w14:textId="77777777" w:rsidR="00AF6C81" w:rsidRPr="00AF6C81" w:rsidRDefault="00AF6C81" w:rsidP="00AF6C81">
      <w:pPr>
        <w:shd w:val="clear" w:color="auto" w:fill="FFFFFF"/>
        <w:spacing w:after="120" w:line="240" w:lineRule="auto"/>
        <w:textAlignment w:val="baseline"/>
        <w:rPr>
          <w:rFonts w:ascii="Open Sans" w:eastAsia="Times New Roman" w:hAnsi="Open Sans" w:cs="Open Sans"/>
          <w:color w:val="000000"/>
          <w:sz w:val="20"/>
          <w:szCs w:val="20"/>
          <w:lang w:eastAsia="da-DK"/>
        </w:rPr>
      </w:pPr>
      <w:r w:rsidRPr="00AF6C81">
        <w:rPr>
          <w:rFonts w:ascii="Open Sans" w:eastAsia="Times New Roman" w:hAnsi="Open Sans" w:cs="Open Sans"/>
          <w:color w:val="000000"/>
          <w:sz w:val="20"/>
          <w:szCs w:val="20"/>
          <w:lang w:eastAsia="da-DK"/>
        </w:rPr>
        <w:t> </w:t>
      </w:r>
    </w:p>
    <w:p w14:paraId="5BEE9B00" w14:textId="77777777" w:rsidR="00AF6C81" w:rsidRPr="00AF6C81" w:rsidRDefault="00AF6C81" w:rsidP="00AF6C81">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F6C81">
        <w:rPr>
          <w:rFonts w:ascii="Arial" w:eastAsia="Times New Roman" w:hAnsi="Arial" w:cs="Arial"/>
          <w:color w:val="000000"/>
          <w:sz w:val="20"/>
          <w:szCs w:val="20"/>
          <w:bdr w:val="none" w:sz="0" w:space="0" w:color="auto" w:frame="1"/>
          <w:lang w:eastAsia="da-DK"/>
        </w:rPr>
        <w:t>Indbetaling af den korrekte retsafgift er en betingelse for, at den pågældende ret kan tage stilling til sagen. Hvis afgiften ikke indbetales inden for den frist, der er fastsat af Retten i Grønland, vil anmodningen bortfalde.</w:t>
      </w:r>
    </w:p>
    <w:p w14:paraId="1B65AEE0" w14:textId="77777777" w:rsidR="000A4370" w:rsidRDefault="000A4370"/>
    <w:sectPr w:rsidR="000A4370">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31656F"/>
    <w:multiLevelType w:val="multilevel"/>
    <w:tmpl w:val="3AAE79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DF1A40"/>
    <w:multiLevelType w:val="multilevel"/>
    <w:tmpl w:val="614877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C81"/>
    <w:rsid w:val="000A4370"/>
    <w:rsid w:val="00AF6C8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2833A"/>
  <w15:chartTrackingRefBased/>
  <w15:docId w15:val="{2BEBA034-9E9A-4C3B-82E7-BFC9962F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AF6C81"/>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Strk">
    <w:name w:val="Strong"/>
    <w:basedOn w:val="Standardskrifttypeiafsnit"/>
    <w:uiPriority w:val="22"/>
    <w:qFormat/>
    <w:rsid w:val="00AF6C81"/>
    <w:rPr>
      <w:b/>
      <w:bCs/>
    </w:rPr>
  </w:style>
  <w:style w:type="character" w:styleId="Hyperlink">
    <w:name w:val="Hyperlink"/>
    <w:basedOn w:val="Standardskrifttypeiafsnit"/>
    <w:uiPriority w:val="99"/>
    <w:semiHidden/>
    <w:unhideWhenUsed/>
    <w:rsid w:val="00AF6C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448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a.gl/Portals/0/Blanketter/St%C3%A6vning%5b1%5d.doc"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666</Words>
  <Characters>4065</Characters>
  <Application>Microsoft Office Word</Application>
  <DocSecurity>0</DocSecurity>
  <Lines>33</Lines>
  <Paragraphs>9</Paragraphs>
  <ScaleCrop>false</ScaleCrop>
  <Company/>
  <LinksUpToDate>false</LinksUpToDate>
  <CharactersWithSpaces>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Maria Spring Öberg  | Grønlands Erhverv</dc:creator>
  <cp:keywords/>
  <dc:description/>
  <cp:lastModifiedBy>Astrid Maria Spring Öberg  | Grønlands Erhverv</cp:lastModifiedBy>
  <cp:revision>1</cp:revision>
  <dcterms:created xsi:type="dcterms:W3CDTF">2021-12-10T18:28:00Z</dcterms:created>
  <dcterms:modified xsi:type="dcterms:W3CDTF">2021-12-10T18:30:00Z</dcterms:modified>
</cp:coreProperties>
</file>